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corsi saranno selezionati in base alle seguenti competenze: lingua inglese, STEM, CLIL, metodologie innovative, competenze digitali, benessere a scuola, sostenibilità.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destinazioni proposte sono le seguenti:</w:t>
      </w:r>
    </w:p>
    <w:p w:rsidR="00000000" w:rsidDel="00000000" w:rsidP="00000000" w:rsidRDefault="00000000" w:rsidRPr="00000000" w14:paraId="00000004">
      <w:pPr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CLIL for Secondary Teachers, Dublino (Irlanda)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https://school-education.ec.europa.eu/en/learn/courses/clil-secondary-teachers-1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CLIL for Secondary Teachers, Galway (Irlanda)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https://school-education.ec.europa.eu/en/learn/courses/clil-secondary-teachers-0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General English Language Course in Dun Laoghaire, Irlanda,  A1 - C1 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https://school-education.ec.europa.eu/en/learn/courses/general-english-language-course-ireland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  <w:color w:val="282828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color w:val="282828"/>
          <w:rtl w:val="0"/>
        </w:rPr>
        <w:t xml:space="preserve">English language skills for teachers – Level 1 e 2, Malta, Irlanda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282828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282828"/>
            <w:u w:val="single"/>
            <w:rtl w:val="0"/>
          </w:rPr>
          <w:t xml:space="preserve">English language skills for teachers – Level 2 | European School Education Platform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  <w:color w:val="282828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color w:val="282828"/>
          <w:rtl w:val="0"/>
        </w:rPr>
        <w:t xml:space="preserve">STEM Education: Basic ICT Tools and Apps, Berlino, Dublino, Malta, Praga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282828"/>
          <w:u w:val="singl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282828"/>
            <w:u w:val="single"/>
            <w:rtl w:val="0"/>
          </w:rPr>
          <w:t xml:space="preserve">STEM Education: Basic ICT Tools and Apps &gt; Erasmus Course for Teachers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  <w:color w:val="282828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color w:val="282828"/>
          <w:rtl w:val="0"/>
        </w:rPr>
        <w:t xml:space="preserve">ICT Tools for a Creative and Collaborative Classroom, Ghent, Lisbona, Tenerife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282828"/>
          <w:u w:val="singl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282828"/>
            <w:u w:val="single"/>
            <w:rtl w:val="0"/>
          </w:rPr>
          <w:t xml:space="preserve">ICT Tools for a Creative &amp; Collaborative Classroom &gt; Course for Teachers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docenti potranno scegliere un corso diverso da quelli proposti grazie alla piattaforma di ricerca Erasmus (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Courses catalogue | European School Education Platform</w:t>
        </w:r>
      </w:hyperlink>
      <w:r w:rsidDel="00000000" w:rsidR="00000000" w:rsidRPr="00000000">
        <w:rPr>
          <w:rtl w:val="0"/>
        </w:rPr>
        <w:t xml:space="preserve"> ),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purché corrisponda alle competenze elencate sopra.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teacheracademy.eu/course/ict-tools/" TargetMode="External"/><Relationship Id="rId10" Type="http://schemas.openxmlformats.org/officeDocument/2006/relationships/hyperlink" Target="https://www.teacheracademy.eu/course/ict-tools-for-stem/" TargetMode="External"/><Relationship Id="rId12" Type="http://schemas.openxmlformats.org/officeDocument/2006/relationships/hyperlink" Target="https://school-education.ec.europa.eu/en/learn/courses" TargetMode="External"/><Relationship Id="rId9" Type="http://schemas.openxmlformats.org/officeDocument/2006/relationships/hyperlink" Target="https://school-education.ec.europa.eu/en/learn/courses/english-language-skills-teachers-level-2" TargetMode="External"/><Relationship Id="rId5" Type="http://schemas.openxmlformats.org/officeDocument/2006/relationships/styles" Target="styles.xml"/><Relationship Id="rId6" Type="http://schemas.openxmlformats.org/officeDocument/2006/relationships/hyperlink" Target="https://school-education.ec.europa.eu/en/learn/courses/clil-secondary-teachers-1" TargetMode="External"/><Relationship Id="rId7" Type="http://schemas.openxmlformats.org/officeDocument/2006/relationships/hyperlink" Target="https://school-education.ec.europa.eu/en/learn/courses/clil-secondary-teachers-0" TargetMode="External"/><Relationship Id="rId8" Type="http://schemas.openxmlformats.org/officeDocument/2006/relationships/hyperlink" Target="https://school-education.ec.europa.eu/en/learn/courses/general-english-language-course-ire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